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十三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合肥工业大学涉密信息设备、存储设备报废审批表</w:t>
      </w:r>
    </w:p>
    <w:tbl>
      <w:tblPr>
        <w:tblStyle w:val="3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596"/>
        <w:gridCol w:w="1490"/>
        <w:gridCol w:w="26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部门名称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设备类型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□台式计算机（□涉密计算机 □涉密中间机）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□便携式计算机（□外出携带 □非外出携带）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□打印机 □复印机 □扫描仪 □刻录机 □涉密U盘 □其他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涉密等级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 □机密  □秘密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责任人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保密编号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放置地点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报废原因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所在部门意见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信息化管理部门审核意见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保密办审批意见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9"/>
              </w:tabs>
              <w:ind w:right="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销毁登记记录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="120" w:afterLines="50" w:line="360" w:lineRule="auto"/>
              <w:ind w:right="482" w:firstLine="482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该设备或设备中具有存储功能的部件已于    年   月   日送交安徽省国家保密局涉密载体销毁中心销毁。</w:t>
            </w:r>
          </w:p>
          <w:p>
            <w:pPr>
              <w:wordWrap w:val="0"/>
              <w:ind w:right="480" w:firstLine="3494" w:firstLineChars="1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送销人签字：</w:t>
            </w:r>
          </w:p>
        </w:tc>
      </w:tr>
    </w:tbl>
    <w:p>
      <w:pPr>
        <w:spacing w:line="360" w:lineRule="auto"/>
        <w:ind w:left="420" w:hanging="420" w:hangingChars="200"/>
        <w:jc w:val="left"/>
        <w:rPr>
          <w:rFonts w:ascii="仿宋_GB2312" w:eastAsia="仿宋_GB2312"/>
          <w:b w:val="0"/>
          <w:color w:val="000000"/>
          <w:sz w:val="21"/>
          <w:szCs w:val="21"/>
        </w:r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注：1.此表严禁在非涉密计算机上填写，请在涉密计算机上填写或打印后手工填写；</w:t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br w:type="textWrapping"/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t>2.涉及军工科研的涉密设备报废报科研院军工办审查，其余报相关业务主管部门审查；</w:t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br w:type="textWrapping"/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t>3.此表原件交保密办备案留存，信息化管理部门存复印件备查。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D0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