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pacing w:val="40"/>
          <w:sz w:val="32"/>
          <w:szCs w:val="32"/>
        </w:rPr>
      </w:pPr>
      <w:r>
        <w:rPr>
          <w:rFonts w:hint="eastAsia" w:ascii="方正小标宋简体" w:eastAsia="方正小标宋简体"/>
          <w:b/>
          <w:spacing w:val="40"/>
          <w:sz w:val="32"/>
          <w:szCs w:val="32"/>
        </w:rPr>
        <w:t>合肥工业大学涉密部门季度自查表</w:t>
      </w:r>
    </w:p>
    <w:tbl>
      <w:tblPr>
        <w:tblStyle w:val="3"/>
        <w:tblW w:w="92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00"/>
        <w:gridCol w:w="2410"/>
        <w:gridCol w:w="992"/>
        <w:gridCol w:w="1134"/>
        <w:gridCol w:w="588"/>
        <w:gridCol w:w="625"/>
        <w:gridCol w:w="671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部门/项目组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自查人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自查时间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检 查 内 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保密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责任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保密责任制是否落实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涉密人员及负责人严格履行保密职责，做好监督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经常开展保密教育，参加学校组织的保密培训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保密工作档案完整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涉密</w:t>
            </w:r>
          </w:p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信息设备、</w:t>
            </w:r>
          </w:p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存储设备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正确粘贴标识，台账完整，并及时更新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未连入公共信息网络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不交叉使用非涉密存储介质和设备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不存储、处理高于自身密级的信息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按照保密要求定期更换密码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软硬件变更、维修报废经过审批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7.</w:t>
            </w:r>
            <w:r>
              <w:rPr>
                <w:rFonts w:hint="eastAsia" w:ascii="仿宋_GB2312" w:hAnsi="宋体" w:eastAsia="仿宋_GB2312"/>
                <w:szCs w:val="21"/>
              </w:rPr>
              <w:t>涉密/非涉密信息导入、导出符合保密规定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8.</w:t>
            </w:r>
            <w:r>
              <w:rPr>
                <w:rFonts w:hint="eastAsia" w:ascii="仿宋_GB2312" w:hAnsi="宋体" w:eastAsia="仿宋_GB2312"/>
                <w:szCs w:val="21"/>
              </w:rPr>
              <w:t>操作系统补丁、杀毒软件病毒库更新符合保密规定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未经审批不擅自携带便携式涉密计算机外出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10.</w:t>
            </w:r>
            <w:r>
              <w:rPr>
                <w:rFonts w:hint="eastAsia" w:ascii="仿宋_GB2312" w:hAnsi="宋体" w:eastAsia="仿宋_GB2312"/>
                <w:szCs w:val="21"/>
              </w:rPr>
              <w:t>外出带回的便携式涉密计算机及时进行保密检查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非涉密</w:t>
            </w:r>
          </w:p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信息设备、</w:t>
            </w:r>
          </w:p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存储设备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正确粘贴标识，台账完整，并及时更新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不存储、处理涉密信息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没有存在交叉使用情况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涉密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载体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>建立台帐，并及时更新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2.不使用时存放在密码保密柜内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3.制作、复制、传递、销毁过程履行了审批登记手续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4.不通过无保密措施的渠道传递涉密文件、资料</w:t>
            </w:r>
          </w:p>
        </w:tc>
        <w:tc>
          <w:tcPr>
            <w:tcW w:w="625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5.过程文件及电子文稿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进行了正确标密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对外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合作交流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对外发布信息、提供资料经过保密审批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发表论文和著作经过保密审批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接受新闻媒体采访经过审批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举办涉密会议、涉外活动经过审批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出国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出境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1.外出携带涉密设备（载体）经过审查审批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2.外出期间涉密设备（载体）妥善保管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3.出国出境是否办理审批手续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4.因私护照是否在规定时间内交回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涉密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场所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场所相对独立（保密要害部门部位经过审批）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严格执行出入登记制度（要害部位）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配备“三铁”：铁门、铁窗、密码铁皮柜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配备“一器”：红外报警器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配备电子门禁和视频监控（要害部位）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配备有效消防设施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7.</w:t>
            </w:r>
            <w:r>
              <w:rPr>
                <w:rFonts w:hint="eastAsia" w:ascii="仿宋_GB2312" w:hAnsi="宋体" w:eastAsia="仿宋_GB2312"/>
                <w:szCs w:val="21"/>
              </w:rPr>
              <w:t>拆除无线设备（模块），严禁无线设备、手机带入（要害部位）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突发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事件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1.突发事件及时向保密办汇报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2.积极配合有关部门将损失减小到最低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存在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问题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3360" w:firstLineChars="1400"/>
              <w:jc w:val="both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自查人签字：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整改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记录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自查部门/项目组负责人签字：           年   月  日</w:t>
            </w:r>
          </w:p>
        </w:tc>
      </w:tr>
    </w:tbl>
    <w:p>
      <w:pPr>
        <w:spacing w:after="156" w:afterLines="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注：请正反面打印在一张A4纸上，在相应栏内划“√”。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96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